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A3AA8" w14:textId="77777777" w:rsidR="0058260A" w:rsidRDefault="0058260A" w:rsidP="00BA6869">
      <w:pPr>
        <w:shd w:val="clear" w:color="auto" w:fill="FFFFFF"/>
        <w:rPr>
          <w:rFonts w:ascii="Times New Roman" w:hAnsi="Times New Roman" w:cs="Times New Roman"/>
        </w:rPr>
      </w:pPr>
      <w:bookmarkStart w:id="0" w:name="_GoBack"/>
      <w:bookmarkEnd w:id="0"/>
    </w:p>
    <w:p w14:paraId="44A90D68" w14:textId="0EF2A841" w:rsidR="0058260A" w:rsidRPr="0023446C" w:rsidRDefault="00B550F1" w:rsidP="00FB304D">
      <w:pPr>
        <w:shd w:val="clear" w:color="auto" w:fill="FFFFFF"/>
        <w:ind w:left="-27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  <w:r w:rsidR="0023446C">
        <w:rPr>
          <w:rFonts w:ascii="Times New Roman" w:hAnsi="Times New Roman" w:cs="Times New Roman"/>
        </w:rPr>
        <w:t>:</w:t>
      </w:r>
      <w:r w:rsidR="0023446C">
        <w:rPr>
          <w:rFonts w:ascii="Times New Roman" w:hAnsi="Times New Roman" w:cs="Times New Roman"/>
        </w:rPr>
        <w:tab/>
      </w:r>
      <w:r w:rsidR="0023446C">
        <w:rPr>
          <w:rFonts w:ascii="Times New Roman" w:hAnsi="Times New Roman" w:cs="Times New Roman"/>
        </w:rPr>
        <w:tab/>
      </w:r>
      <w:r w:rsidR="0023446C">
        <w:rPr>
          <w:rFonts w:ascii="Times New Roman" w:hAnsi="Times New Roman" w:cs="Times New Roman"/>
        </w:rPr>
        <w:tab/>
      </w:r>
      <w:r w:rsidR="0023446C">
        <w:rPr>
          <w:rFonts w:ascii="Times New Roman" w:hAnsi="Times New Roman" w:cs="Times New Roman"/>
        </w:rPr>
        <w:tab/>
      </w:r>
      <w:r w:rsidR="0023446C">
        <w:rPr>
          <w:rFonts w:ascii="Times New Roman" w:hAnsi="Times New Roman" w:cs="Times New Roman"/>
        </w:rPr>
        <w:tab/>
      </w:r>
      <w:r w:rsidR="0023446C">
        <w:rPr>
          <w:rFonts w:ascii="Times New Roman" w:hAnsi="Times New Roman" w:cs="Times New Roman"/>
        </w:rPr>
        <w:tab/>
        <w:t xml:space="preserve"> </w:t>
      </w:r>
      <w:r w:rsidR="0088334F">
        <w:rPr>
          <w:rFonts w:ascii="Times New Roman" w:hAnsi="Times New Roman" w:cs="Times New Roman"/>
        </w:rPr>
        <w:tab/>
        <w:t xml:space="preserve">  </w:t>
      </w:r>
      <w:r w:rsidR="0023446C">
        <w:rPr>
          <w:rFonts w:ascii="Times New Roman" w:hAnsi="Times New Roman" w:cs="Times New Roman"/>
        </w:rPr>
        <w:t xml:space="preserve">            </w:t>
      </w:r>
      <w:r w:rsidR="0058260A" w:rsidRPr="0023446C">
        <w:rPr>
          <w:rFonts w:ascii="Times New Roman" w:hAnsi="Times New Roman" w:cs="Times New Roman"/>
        </w:rPr>
        <w:t xml:space="preserve">Contact: </w:t>
      </w:r>
      <w:hyperlink r:id="rId8" w:history="1">
        <w:r w:rsidR="0058260A" w:rsidRPr="00391367">
          <w:rPr>
            <w:rStyle w:val="Hyperlink"/>
            <w:rFonts w:ascii="Times New Roman" w:hAnsi="Times New Roman" w:cs="Times New Roman"/>
          </w:rPr>
          <w:t xml:space="preserve">Jeff </w:t>
        </w:r>
        <w:proofErr w:type="spellStart"/>
        <w:r w:rsidR="0058260A" w:rsidRPr="00391367">
          <w:rPr>
            <w:rStyle w:val="Hyperlink"/>
            <w:rFonts w:ascii="Times New Roman" w:hAnsi="Times New Roman" w:cs="Times New Roman"/>
          </w:rPr>
          <w:t>Lieberson</w:t>
        </w:r>
        <w:proofErr w:type="spellEnd"/>
      </w:hyperlink>
      <w:r w:rsidR="0058260A" w:rsidRPr="0023446C">
        <w:rPr>
          <w:rFonts w:ascii="Times New Roman" w:hAnsi="Times New Roman" w:cs="Times New Roman"/>
        </w:rPr>
        <w:t xml:space="preserve"> </w:t>
      </w:r>
    </w:p>
    <w:p w14:paraId="24742879" w14:textId="52463649" w:rsidR="0058260A" w:rsidRPr="0023446C" w:rsidRDefault="00E855CC" w:rsidP="00FB304D">
      <w:pPr>
        <w:shd w:val="clear" w:color="auto" w:fill="FFFFFF"/>
        <w:ind w:left="-27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11</w:t>
      </w:r>
      <w:r w:rsidR="00391367">
        <w:rPr>
          <w:rFonts w:ascii="Times New Roman" w:hAnsi="Times New Roman" w:cs="Times New Roman"/>
        </w:rPr>
        <w:t>,</w:t>
      </w:r>
      <w:r w:rsidR="0058260A" w:rsidRPr="0023446C">
        <w:rPr>
          <w:rFonts w:ascii="Times New Roman" w:hAnsi="Times New Roman" w:cs="Times New Roman"/>
        </w:rPr>
        <w:t xml:space="preserve"> 201</w:t>
      </w:r>
      <w:r w:rsidR="00B550F1">
        <w:rPr>
          <w:rFonts w:ascii="Times New Roman" w:hAnsi="Times New Roman" w:cs="Times New Roman"/>
        </w:rPr>
        <w:t>6</w:t>
      </w:r>
      <w:r w:rsidR="00B550F1">
        <w:rPr>
          <w:rFonts w:ascii="Times New Roman" w:hAnsi="Times New Roman" w:cs="Times New Roman"/>
        </w:rPr>
        <w:tab/>
      </w:r>
      <w:r w:rsidR="00B550F1">
        <w:rPr>
          <w:rFonts w:ascii="Times New Roman" w:hAnsi="Times New Roman" w:cs="Times New Roman"/>
        </w:rPr>
        <w:tab/>
      </w:r>
      <w:r w:rsidR="0058260A" w:rsidRPr="0023446C">
        <w:rPr>
          <w:rFonts w:ascii="Times New Roman" w:hAnsi="Times New Roman" w:cs="Times New Roman"/>
        </w:rPr>
        <w:tab/>
      </w:r>
      <w:r w:rsidR="0058260A" w:rsidRPr="0023446C">
        <w:rPr>
          <w:rFonts w:ascii="Times New Roman" w:hAnsi="Times New Roman" w:cs="Times New Roman"/>
        </w:rPr>
        <w:tab/>
      </w:r>
      <w:r w:rsidR="0058260A" w:rsidRPr="0023446C">
        <w:rPr>
          <w:rFonts w:ascii="Times New Roman" w:hAnsi="Times New Roman" w:cs="Times New Roman"/>
        </w:rPr>
        <w:tab/>
      </w:r>
      <w:r w:rsidR="0058260A" w:rsidRPr="0023446C">
        <w:rPr>
          <w:rFonts w:ascii="Times New Roman" w:hAnsi="Times New Roman" w:cs="Times New Roman"/>
        </w:rPr>
        <w:tab/>
        <w:t xml:space="preserve">        </w:t>
      </w:r>
      <w:r w:rsidR="0023446C">
        <w:rPr>
          <w:rFonts w:ascii="Times New Roman" w:hAnsi="Times New Roman" w:cs="Times New Roman"/>
        </w:rPr>
        <w:t xml:space="preserve">                     </w:t>
      </w:r>
      <w:r w:rsidR="00391367">
        <w:rPr>
          <w:rFonts w:ascii="Times New Roman" w:hAnsi="Times New Roman" w:cs="Times New Roman"/>
        </w:rPr>
        <w:t xml:space="preserve">              </w:t>
      </w:r>
      <w:r w:rsidR="00071E09" w:rsidRPr="0023446C">
        <w:rPr>
          <w:rFonts w:ascii="Times New Roman" w:hAnsi="Times New Roman" w:cs="Times New Roman"/>
        </w:rPr>
        <w:t>202-478-6073</w:t>
      </w:r>
      <w:r w:rsidR="0058260A" w:rsidRPr="0023446C">
        <w:rPr>
          <w:rFonts w:ascii="Times New Roman" w:hAnsi="Times New Roman" w:cs="Times New Roman"/>
        </w:rPr>
        <w:t xml:space="preserve"> (office)</w:t>
      </w:r>
    </w:p>
    <w:p w14:paraId="17416DB2" w14:textId="277C3058" w:rsidR="0058260A" w:rsidRPr="0023446C" w:rsidRDefault="0058260A" w:rsidP="00FB304D">
      <w:pPr>
        <w:shd w:val="clear" w:color="auto" w:fill="FFFFFF"/>
        <w:ind w:left="-270" w:right="180"/>
        <w:rPr>
          <w:rFonts w:ascii="Times New Roman" w:hAnsi="Times New Roman" w:cs="Times New Roman"/>
          <w:b/>
          <w:bCs/>
          <w:sz w:val="28"/>
          <w:szCs w:val="28"/>
        </w:rPr>
      </w:pPr>
      <w:r w:rsidRPr="002344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4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4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4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4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4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4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4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4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4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46C">
        <w:rPr>
          <w:rFonts w:ascii="Times New Roman" w:hAnsi="Times New Roman" w:cs="Times New Roman"/>
        </w:rPr>
        <w:t xml:space="preserve">   </w:t>
      </w:r>
      <w:r w:rsidR="00FD5D6F" w:rsidRPr="0023446C">
        <w:rPr>
          <w:rFonts w:ascii="Times New Roman" w:hAnsi="Times New Roman" w:cs="Times New Roman"/>
        </w:rPr>
        <w:t xml:space="preserve">  </w:t>
      </w:r>
      <w:r w:rsidR="009F4876">
        <w:rPr>
          <w:rFonts w:ascii="Times New Roman" w:hAnsi="Times New Roman" w:cs="Times New Roman"/>
        </w:rPr>
        <w:t xml:space="preserve">              </w:t>
      </w:r>
      <w:r w:rsidR="00FD5D6F" w:rsidRPr="0023446C">
        <w:rPr>
          <w:rFonts w:ascii="Times New Roman" w:hAnsi="Times New Roman" w:cs="Times New Roman"/>
        </w:rPr>
        <w:t xml:space="preserve"> </w:t>
      </w:r>
      <w:r w:rsidRPr="0023446C">
        <w:rPr>
          <w:rFonts w:ascii="Times New Roman" w:hAnsi="Times New Roman" w:cs="Times New Roman"/>
        </w:rPr>
        <w:t>202-236-2372 (cell)</w:t>
      </w:r>
    </w:p>
    <w:p w14:paraId="441A00EF" w14:textId="77777777" w:rsidR="0058260A" w:rsidRPr="0023446C" w:rsidRDefault="0058260A" w:rsidP="00FB304D">
      <w:pPr>
        <w:ind w:left="-270" w:right="18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4A29E4D" w14:textId="19FF8389" w:rsidR="00B17117" w:rsidRDefault="00E855CC" w:rsidP="00FB304D">
      <w:pPr>
        <w:ind w:left="-270" w:right="18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A Call to Action: APLU </w:t>
      </w:r>
      <w:r w:rsidR="009F4876">
        <w:rPr>
          <w:rFonts w:ascii="Times New Roman" w:hAnsi="Times New Roman" w:cs="Times New Roman"/>
          <w:b/>
          <w:color w:val="000000"/>
          <w:sz w:val="30"/>
          <w:szCs w:val="30"/>
        </w:rPr>
        <w:t>Task Force on Laboratory Safety</w:t>
      </w:r>
      <w:r w:rsidR="004C71E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C062E2">
        <w:rPr>
          <w:rFonts w:ascii="Times New Roman" w:hAnsi="Times New Roman" w:cs="Times New Roman"/>
          <w:b/>
          <w:color w:val="000000"/>
          <w:sz w:val="30"/>
          <w:szCs w:val="30"/>
        </w:rPr>
        <w:br/>
      </w:r>
      <w:r w:rsidR="004C71EF">
        <w:rPr>
          <w:rFonts w:ascii="Times New Roman" w:hAnsi="Times New Roman" w:cs="Times New Roman"/>
          <w:b/>
          <w:color w:val="000000"/>
          <w:sz w:val="30"/>
          <w:szCs w:val="30"/>
        </w:rPr>
        <w:t>Releases Report &amp; Guidelines</w:t>
      </w:r>
      <w:r w:rsidR="007A6BF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Urging</w:t>
      </w:r>
      <w:r w:rsidR="00C062E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4C71E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All Universities </w:t>
      </w:r>
      <w:r w:rsidR="00C062E2">
        <w:rPr>
          <w:rFonts w:ascii="Times New Roman" w:hAnsi="Times New Roman" w:cs="Times New Roman"/>
          <w:b/>
          <w:color w:val="000000"/>
          <w:sz w:val="30"/>
          <w:szCs w:val="30"/>
        </w:rPr>
        <w:br/>
      </w:r>
      <w:r w:rsidR="004C71E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to </w:t>
      </w:r>
      <w:r w:rsidR="00C062E2">
        <w:rPr>
          <w:rFonts w:ascii="Times New Roman" w:hAnsi="Times New Roman" w:cs="Times New Roman"/>
          <w:b/>
          <w:color w:val="000000"/>
          <w:sz w:val="30"/>
          <w:szCs w:val="30"/>
        </w:rPr>
        <w:t>Renew Commitment to Research Safety</w:t>
      </w:r>
    </w:p>
    <w:p w14:paraId="25A39641" w14:textId="77777777" w:rsidR="00C062E2" w:rsidRPr="000C6B32" w:rsidRDefault="00C062E2" w:rsidP="00FB304D">
      <w:pPr>
        <w:ind w:left="-270" w:right="180"/>
        <w:jc w:val="center"/>
        <w:rPr>
          <w:rFonts w:ascii="Times New Roman" w:hAnsi="Times New Roman" w:cs="Times New Roman"/>
          <w:sz w:val="24"/>
          <w:szCs w:val="24"/>
        </w:rPr>
      </w:pPr>
    </w:p>
    <w:p w14:paraId="719CE152" w14:textId="5B9ED09D" w:rsidR="004F3A13" w:rsidRDefault="000C6B32" w:rsidP="007A6BFE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Washington, DC </w:t>
      </w:r>
      <w:r w:rsidR="00C062E2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A13">
        <w:rPr>
          <w:rFonts w:ascii="Times New Roman" w:hAnsi="Times New Roman" w:cs="Times New Roman"/>
          <w:sz w:val="24"/>
          <w:szCs w:val="24"/>
        </w:rPr>
        <w:t xml:space="preserve">Seeking to provide a roadmap for university-wide efforts to renew and strengthen a culture of research safety, </w:t>
      </w:r>
      <w:r w:rsidR="00C062E2">
        <w:rPr>
          <w:rFonts w:ascii="Times New Roman" w:hAnsi="Times New Roman" w:cs="Times New Roman"/>
          <w:sz w:val="24"/>
          <w:szCs w:val="24"/>
        </w:rPr>
        <w:t xml:space="preserve">the </w:t>
      </w:r>
      <w:r w:rsidRPr="000C6B32">
        <w:rPr>
          <w:rFonts w:ascii="Times New Roman" w:hAnsi="Times New Roman" w:cs="Times New Roman"/>
          <w:sz w:val="24"/>
          <w:szCs w:val="24"/>
        </w:rPr>
        <w:t>Association of Public and Land-grant Universities</w:t>
      </w:r>
      <w:r w:rsidR="00C062E2">
        <w:rPr>
          <w:rFonts w:ascii="Times New Roman" w:hAnsi="Times New Roman" w:cs="Times New Roman"/>
          <w:sz w:val="24"/>
          <w:szCs w:val="24"/>
        </w:rPr>
        <w:t>’ (APLU)</w:t>
      </w:r>
      <w:r w:rsidR="00920781">
        <w:rPr>
          <w:rFonts w:ascii="Times New Roman" w:hAnsi="Times New Roman" w:cs="Times New Roman"/>
          <w:sz w:val="24"/>
          <w:szCs w:val="24"/>
        </w:rPr>
        <w:t xml:space="preserve"> Task Force on </w:t>
      </w:r>
      <w:r w:rsidRPr="000C6B32">
        <w:rPr>
          <w:rFonts w:ascii="Times New Roman" w:hAnsi="Times New Roman" w:cs="Times New Roman"/>
          <w:sz w:val="24"/>
          <w:szCs w:val="24"/>
        </w:rPr>
        <w:t>Laboratory Safety</w:t>
      </w:r>
      <w:r w:rsidR="007A6BFE">
        <w:rPr>
          <w:rFonts w:ascii="Times New Roman" w:hAnsi="Times New Roman" w:cs="Times New Roman"/>
          <w:sz w:val="24"/>
          <w:szCs w:val="24"/>
        </w:rPr>
        <w:t xml:space="preserve"> today released its </w:t>
      </w:r>
      <w:hyperlink r:id="rId9" w:history="1">
        <w:r w:rsidR="007A6BFE" w:rsidRPr="00B550F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Guide to Implementing a Safety Culture in Our Universities</w:t>
        </w:r>
      </w:hyperlink>
      <w:r w:rsidR="004F3A13">
        <w:rPr>
          <w:rFonts w:ascii="Times New Roman" w:hAnsi="Times New Roman" w:cs="Times New Roman"/>
          <w:sz w:val="24"/>
          <w:szCs w:val="24"/>
        </w:rPr>
        <w:t>.  The task force also released a</w:t>
      </w:r>
      <w:r w:rsidR="007A6BFE">
        <w:rPr>
          <w:rFonts w:ascii="Times New Roman" w:hAnsi="Times New Roman" w:cs="Times New Roman"/>
          <w:sz w:val="24"/>
          <w:szCs w:val="24"/>
        </w:rPr>
        <w:t xml:space="preserve"> </w:t>
      </w:r>
      <w:r w:rsidR="007A6BFE" w:rsidRPr="0082714C">
        <w:rPr>
          <w:rFonts w:ascii="Times New Roman" w:hAnsi="Times New Roman" w:cs="Times New Roman"/>
          <w:sz w:val="24"/>
          <w:szCs w:val="24"/>
        </w:rPr>
        <w:t>companion website</w:t>
      </w:r>
      <w:r w:rsidR="0082714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2714C" w:rsidRPr="009C05CD">
          <w:rPr>
            <w:rStyle w:val="Hyperlink"/>
            <w:rFonts w:ascii="Times New Roman" w:hAnsi="Times New Roman" w:cs="Times New Roman"/>
            <w:sz w:val="24"/>
            <w:szCs w:val="24"/>
          </w:rPr>
          <w:t>www.aplu.org/researchsafety</w:t>
        </w:r>
      </w:hyperlink>
      <w:r w:rsidR="0082714C">
        <w:rPr>
          <w:rFonts w:ascii="Times New Roman" w:hAnsi="Times New Roman" w:cs="Times New Roman"/>
          <w:sz w:val="24"/>
          <w:szCs w:val="24"/>
        </w:rPr>
        <w:t xml:space="preserve"> </w:t>
      </w:r>
      <w:r w:rsidR="000A1B07">
        <w:rPr>
          <w:rFonts w:ascii="Times New Roman" w:hAnsi="Times New Roman" w:cs="Times New Roman"/>
          <w:sz w:val="24"/>
          <w:szCs w:val="24"/>
        </w:rPr>
        <w:t xml:space="preserve">intended </w:t>
      </w:r>
      <w:r w:rsidR="004F3A13">
        <w:rPr>
          <w:rFonts w:ascii="Times New Roman" w:hAnsi="Times New Roman" w:cs="Times New Roman"/>
          <w:sz w:val="24"/>
          <w:szCs w:val="24"/>
        </w:rPr>
        <w:t xml:space="preserve">to make the guide more accessible and allow for the continued sharing of best practices and other information to improve safety at research universities nationwide.  </w:t>
      </w:r>
    </w:p>
    <w:p w14:paraId="404880BC" w14:textId="77777777" w:rsidR="00B97470" w:rsidRDefault="00B97470" w:rsidP="007A6BFE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</w:p>
    <w:p w14:paraId="7652B768" w14:textId="77777777" w:rsidR="007E1D7E" w:rsidRDefault="00D96DC1" w:rsidP="007E1D7E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for university presidents and chancellors who have pledged to commit their university to a renewed culture of research safety, the guide and website include 20 </w:t>
      </w:r>
      <w:r w:rsidR="00B97470" w:rsidRPr="00B97470">
        <w:rPr>
          <w:rFonts w:ascii="Times New Roman" w:hAnsi="Times New Roman" w:cs="Times New Roman"/>
          <w:sz w:val="24"/>
          <w:szCs w:val="24"/>
        </w:rPr>
        <w:t>recommendations, each with an analysis of the alignment of the recommendation with other foundational reports, reading lists, tools, strategies, ill</w:t>
      </w:r>
      <w:r>
        <w:rPr>
          <w:rFonts w:ascii="Times New Roman" w:hAnsi="Times New Roman" w:cs="Times New Roman"/>
          <w:sz w:val="24"/>
          <w:szCs w:val="24"/>
        </w:rPr>
        <w:t>ustrative examples, and/</w:t>
      </w:r>
      <w:r w:rsidR="00B97470" w:rsidRPr="00B97470">
        <w:rPr>
          <w:rFonts w:ascii="Times New Roman" w:hAnsi="Times New Roman" w:cs="Times New Roman"/>
          <w:sz w:val="24"/>
          <w:szCs w:val="24"/>
        </w:rPr>
        <w:t>or best practices drawn from a community of stakeholders. These resources were selected to help an appointed campus team navigate the process of strengthening their culture of safety.</w:t>
      </w:r>
    </w:p>
    <w:p w14:paraId="31CB3BCC" w14:textId="77777777" w:rsidR="007E1D7E" w:rsidRPr="007E1D7E" w:rsidRDefault="007E1D7E" w:rsidP="007E1D7E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</w:p>
    <w:p w14:paraId="601FF830" w14:textId="1E69C3AE" w:rsidR="007E1D7E" w:rsidRPr="007E1D7E" w:rsidRDefault="007E1D7E" w:rsidP="007E1D7E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  <w:r w:rsidRPr="007E1D7E">
        <w:rPr>
          <w:rFonts w:ascii="Times New Roman" w:eastAsia="Times New Roman" w:hAnsi="Times New Roman" w:cs="Times New Roman"/>
          <w:sz w:val="24"/>
          <w:szCs w:val="24"/>
        </w:rPr>
        <w:t xml:space="preserve">“This is an unprecedented opportunity to align a distinct national need with the core purpose of great research universities,” said Taylor </w:t>
      </w:r>
      <w:proofErr w:type="spellStart"/>
      <w:r w:rsidRPr="007E1D7E">
        <w:rPr>
          <w:rFonts w:ascii="Times New Roman" w:eastAsia="Times New Roman" w:hAnsi="Times New Roman" w:cs="Times New Roman"/>
          <w:sz w:val="24"/>
          <w:szCs w:val="24"/>
        </w:rPr>
        <w:t>Eighmy</w:t>
      </w:r>
      <w:proofErr w:type="spellEnd"/>
      <w:r w:rsidRPr="007E1D7E">
        <w:rPr>
          <w:rFonts w:ascii="Times New Roman" w:eastAsia="Times New Roman" w:hAnsi="Times New Roman" w:cs="Times New Roman"/>
          <w:sz w:val="24"/>
          <w:szCs w:val="24"/>
        </w:rPr>
        <w:t>, vice chancellor for research and engagement at the University of Tennessee</w:t>
      </w:r>
      <w:r>
        <w:rPr>
          <w:rFonts w:ascii="Times New Roman" w:eastAsia="Times New Roman" w:hAnsi="Times New Roman" w:cs="Times New Roman"/>
          <w:sz w:val="24"/>
          <w:szCs w:val="24"/>
        </w:rPr>
        <w:t>, who served as co-chair of the APLU task force</w:t>
      </w:r>
      <w:r w:rsidRPr="007E1D7E">
        <w:rPr>
          <w:rFonts w:ascii="Times New Roman" w:eastAsia="Times New Roman" w:hAnsi="Times New Roman" w:cs="Times New Roman"/>
          <w:sz w:val="24"/>
          <w:szCs w:val="24"/>
        </w:rPr>
        <w:t>. “A culture of lab safety is integral to the discovery enterprise and all that is embodied in that process. I hope that each institution embraces this opportunity for positive change."</w:t>
      </w:r>
    </w:p>
    <w:p w14:paraId="7DC5BCA6" w14:textId="77777777" w:rsidR="00D96DC1" w:rsidRDefault="00D96DC1" w:rsidP="00D96DC1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</w:p>
    <w:p w14:paraId="1404AD72" w14:textId="12E2A125" w:rsidR="00D96DC1" w:rsidRDefault="007E1D7E" w:rsidP="00D96DC1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</w:t>
      </w:r>
      <w:r w:rsidR="001E05F9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Mc</w:t>
      </w:r>
      <w:r w:rsidR="001E05F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ellan, </w:t>
      </w:r>
      <w:r w:rsidR="00F241EE">
        <w:rPr>
          <w:rFonts w:ascii="Times New Roman" w:hAnsi="Times New Roman" w:cs="Times New Roman"/>
          <w:sz w:val="24"/>
          <w:szCs w:val="24"/>
        </w:rPr>
        <w:t>v</w:t>
      </w:r>
      <w:r w:rsidRPr="007E1D7E">
        <w:rPr>
          <w:rFonts w:ascii="Times New Roman" w:hAnsi="Times New Roman" w:cs="Times New Roman"/>
          <w:sz w:val="24"/>
          <w:szCs w:val="24"/>
        </w:rPr>
        <w:t xml:space="preserve">ice </w:t>
      </w:r>
      <w:r w:rsidR="00F241EE">
        <w:rPr>
          <w:rFonts w:ascii="Times New Roman" w:hAnsi="Times New Roman" w:cs="Times New Roman"/>
          <w:sz w:val="24"/>
          <w:szCs w:val="24"/>
        </w:rPr>
        <w:t>p</w:t>
      </w:r>
      <w:r w:rsidRPr="007E1D7E">
        <w:rPr>
          <w:rFonts w:ascii="Times New Roman" w:hAnsi="Times New Roman" w:cs="Times New Roman"/>
          <w:sz w:val="24"/>
          <w:szCs w:val="24"/>
        </w:rPr>
        <w:t xml:space="preserve">resident for </w:t>
      </w:r>
      <w:r w:rsidR="00F241EE">
        <w:rPr>
          <w:rFonts w:ascii="Times New Roman" w:hAnsi="Times New Roman" w:cs="Times New Roman"/>
          <w:sz w:val="24"/>
          <w:szCs w:val="24"/>
        </w:rPr>
        <w:t>r</w:t>
      </w:r>
      <w:r w:rsidRPr="007E1D7E">
        <w:rPr>
          <w:rFonts w:ascii="Times New Roman" w:hAnsi="Times New Roman" w:cs="Times New Roman"/>
          <w:sz w:val="24"/>
          <w:szCs w:val="24"/>
        </w:rPr>
        <w:t xml:space="preserve">esearch &amp; </w:t>
      </w:r>
      <w:r w:rsidR="00F241EE">
        <w:rPr>
          <w:rFonts w:ascii="Times New Roman" w:hAnsi="Times New Roman" w:cs="Times New Roman"/>
          <w:sz w:val="24"/>
          <w:szCs w:val="24"/>
        </w:rPr>
        <w:t>d</w:t>
      </w:r>
      <w:r w:rsidRPr="007E1D7E">
        <w:rPr>
          <w:rFonts w:ascii="Times New Roman" w:hAnsi="Times New Roman" w:cs="Times New Roman"/>
          <w:sz w:val="24"/>
          <w:szCs w:val="24"/>
        </w:rPr>
        <w:t xml:space="preserve">ean of the </w:t>
      </w:r>
      <w:r w:rsidR="00F241EE">
        <w:rPr>
          <w:rFonts w:ascii="Times New Roman" w:hAnsi="Times New Roman" w:cs="Times New Roman"/>
          <w:sz w:val="24"/>
          <w:szCs w:val="24"/>
        </w:rPr>
        <w:t>s</w:t>
      </w:r>
      <w:r w:rsidRPr="007E1D7E">
        <w:rPr>
          <w:rFonts w:ascii="Times New Roman" w:hAnsi="Times New Roman" w:cs="Times New Roman"/>
          <w:sz w:val="24"/>
          <w:szCs w:val="24"/>
        </w:rPr>
        <w:t xml:space="preserve">chool of </w:t>
      </w:r>
      <w:r w:rsidR="00F241EE">
        <w:rPr>
          <w:rFonts w:ascii="Times New Roman" w:hAnsi="Times New Roman" w:cs="Times New Roman"/>
          <w:sz w:val="24"/>
          <w:szCs w:val="24"/>
        </w:rPr>
        <w:t>g</w:t>
      </w:r>
      <w:r w:rsidRPr="007E1D7E">
        <w:rPr>
          <w:rFonts w:ascii="Times New Roman" w:hAnsi="Times New Roman" w:cs="Times New Roman"/>
          <w:sz w:val="24"/>
          <w:szCs w:val="24"/>
        </w:rPr>
        <w:t xml:space="preserve">raduate </w:t>
      </w:r>
      <w:r w:rsidR="00F241EE">
        <w:rPr>
          <w:rFonts w:ascii="Times New Roman" w:hAnsi="Times New Roman" w:cs="Times New Roman"/>
          <w:sz w:val="24"/>
          <w:szCs w:val="24"/>
        </w:rPr>
        <w:t>s</w:t>
      </w:r>
      <w:r w:rsidRPr="007E1D7E">
        <w:rPr>
          <w:rFonts w:ascii="Times New Roman" w:hAnsi="Times New Roman" w:cs="Times New Roman"/>
          <w:sz w:val="24"/>
          <w:szCs w:val="24"/>
        </w:rPr>
        <w:t>tudies</w:t>
      </w:r>
      <w:r w:rsidR="009D1859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Utah State University and APLU task force co-chair added, “</w:t>
      </w:r>
      <w:r w:rsidRPr="007E1D7E">
        <w:rPr>
          <w:rFonts w:ascii="Times New Roman" w:hAnsi="Times New Roman" w:cs="Times New Roman"/>
          <w:sz w:val="24"/>
          <w:szCs w:val="24"/>
        </w:rPr>
        <w:t>The key here is that this task force report</w:t>
      </w:r>
      <w:r>
        <w:rPr>
          <w:rFonts w:ascii="Times New Roman" w:hAnsi="Times New Roman" w:cs="Times New Roman"/>
          <w:sz w:val="24"/>
          <w:szCs w:val="24"/>
        </w:rPr>
        <w:t xml:space="preserve"> will cause change to the ca</w:t>
      </w:r>
      <w:r w:rsidRPr="007E1D7E">
        <w:rPr>
          <w:rFonts w:ascii="Times New Roman" w:hAnsi="Times New Roman" w:cs="Times New Roman"/>
          <w:sz w:val="24"/>
          <w:szCs w:val="24"/>
        </w:rPr>
        <w:t>mpus culture that will inherently create a safer teaching, research and employment</w:t>
      </w:r>
      <w:r>
        <w:rPr>
          <w:rFonts w:ascii="Times New Roman" w:hAnsi="Times New Roman" w:cs="Times New Roman"/>
          <w:sz w:val="24"/>
          <w:szCs w:val="24"/>
        </w:rPr>
        <w:t xml:space="preserve"> environment.  And if done well on the campus level</w:t>
      </w:r>
      <w:r w:rsidRPr="007E1D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these changes </w:t>
      </w:r>
      <w:r w:rsidRPr="007E1D7E">
        <w:rPr>
          <w:rFonts w:ascii="Times New Roman" w:hAnsi="Times New Roman" w:cs="Times New Roman"/>
          <w:sz w:val="24"/>
          <w:szCs w:val="24"/>
        </w:rPr>
        <w:t>will be embraced broadly across o</w:t>
      </w:r>
      <w:r>
        <w:rPr>
          <w:rFonts w:ascii="Times New Roman" w:hAnsi="Times New Roman" w:cs="Times New Roman"/>
          <w:sz w:val="24"/>
          <w:szCs w:val="24"/>
        </w:rPr>
        <w:t>ur faculty, staff and students.”</w:t>
      </w:r>
    </w:p>
    <w:p w14:paraId="4DB2C51C" w14:textId="77777777" w:rsidR="00D96DC1" w:rsidRDefault="00D96DC1" w:rsidP="00D96DC1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</w:p>
    <w:p w14:paraId="14F19665" w14:textId="5B8614FD" w:rsidR="00963E22" w:rsidRDefault="00963E22" w:rsidP="00963E22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breaking the guidelines and website into 20 recommendations, the task force sought to provide a foundational resource that can be used by institutions regardless of the current practices they have in place to ensure research safety. Specifically, the guidelines seek to help research universities: 1) u</w:t>
      </w:r>
      <w:r w:rsidRPr="000C6B32">
        <w:rPr>
          <w:rFonts w:ascii="Times New Roman" w:hAnsi="Times New Roman" w:cs="Times New Roman"/>
          <w:sz w:val="24"/>
          <w:szCs w:val="24"/>
        </w:rPr>
        <w:t>nderstand practical steps in implementing a ‘culture of saf</w:t>
      </w:r>
      <w:r>
        <w:rPr>
          <w:rFonts w:ascii="Times New Roman" w:hAnsi="Times New Roman" w:cs="Times New Roman"/>
          <w:sz w:val="24"/>
          <w:szCs w:val="24"/>
        </w:rPr>
        <w:t>ety’ in their laboratories; 2) d</w:t>
      </w:r>
      <w:r w:rsidRPr="000C6B32">
        <w:rPr>
          <w:rFonts w:ascii="Times New Roman" w:hAnsi="Times New Roman" w:cs="Times New Roman"/>
          <w:sz w:val="24"/>
          <w:szCs w:val="24"/>
        </w:rPr>
        <w:t>ocument their commitment to laboratory safety excellence in order to benchma</w:t>
      </w:r>
      <w:r>
        <w:rPr>
          <w:rFonts w:ascii="Times New Roman" w:hAnsi="Times New Roman" w:cs="Times New Roman"/>
          <w:sz w:val="24"/>
          <w:szCs w:val="24"/>
        </w:rPr>
        <w:t>rk against leading practice; 3) d</w:t>
      </w:r>
      <w:r w:rsidRPr="000C6B32">
        <w:rPr>
          <w:rFonts w:ascii="Times New Roman" w:hAnsi="Times New Roman" w:cs="Times New Roman"/>
          <w:sz w:val="24"/>
          <w:szCs w:val="24"/>
        </w:rPr>
        <w:t xml:space="preserve">ocument their compliance with national, state, and institutional laboratory policies; 4)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6B32">
        <w:rPr>
          <w:rFonts w:ascii="Times New Roman" w:hAnsi="Times New Roman" w:cs="Times New Roman"/>
          <w:sz w:val="24"/>
          <w:szCs w:val="24"/>
        </w:rPr>
        <w:t>howcase their dedication to preventing and managing injury of individuals performing</w:t>
      </w:r>
      <w:r>
        <w:rPr>
          <w:rFonts w:ascii="Times New Roman" w:hAnsi="Times New Roman" w:cs="Times New Roman"/>
          <w:sz w:val="24"/>
          <w:szCs w:val="24"/>
        </w:rPr>
        <w:t xml:space="preserve"> laboratory activities; and 5) l</w:t>
      </w:r>
      <w:r w:rsidRPr="000C6B32">
        <w:rPr>
          <w:rFonts w:ascii="Times New Roman" w:hAnsi="Times New Roman" w:cs="Times New Roman"/>
          <w:sz w:val="24"/>
          <w:szCs w:val="24"/>
        </w:rPr>
        <w:t xml:space="preserve">imit the liability of college and university leadership by meeting established standards of </w:t>
      </w:r>
      <w:r w:rsidRPr="000C6B32">
        <w:rPr>
          <w:rFonts w:ascii="Times New Roman" w:hAnsi="Times New Roman" w:cs="Times New Roman"/>
          <w:sz w:val="24"/>
          <w:szCs w:val="24"/>
        </w:rPr>
        <w:lastRenderedPageBreak/>
        <w:t>excellence, including implementing mechanisms to document an institution’s commitment to developing and preserving a culture of safety and compliance.</w:t>
      </w:r>
    </w:p>
    <w:p w14:paraId="536EB111" w14:textId="77777777" w:rsidR="009D1859" w:rsidRDefault="009D1859" w:rsidP="00963E22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</w:p>
    <w:p w14:paraId="588BB20A" w14:textId="23B958C4" w:rsidR="009D1859" w:rsidRDefault="009D1859" w:rsidP="00963E22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D1859">
        <w:rPr>
          <w:rFonts w:ascii="Times New Roman" w:hAnsi="Times New Roman" w:cs="Times New Roman"/>
          <w:sz w:val="24"/>
          <w:szCs w:val="24"/>
        </w:rPr>
        <w:t xml:space="preserve">This terrific report </w:t>
      </w:r>
      <w:r>
        <w:rPr>
          <w:rFonts w:ascii="Times New Roman" w:hAnsi="Times New Roman" w:cs="Times New Roman"/>
          <w:sz w:val="24"/>
          <w:szCs w:val="24"/>
        </w:rPr>
        <w:t>could not come at a better time,” said Holden Thorp, provost at</w:t>
      </w:r>
      <w:r w:rsidRPr="009D1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Washington University in St. Louis and </w:t>
      </w:r>
      <w:r w:rsidRPr="009D1859">
        <w:rPr>
          <w:rFonts w:ascii="Times New Roman" w:hAnsi="Times New Roman" w:cs="Times New Roman"/>
          <w:sz w:val="24"/>
          <w:szCs w:val="24"/>
        </w:rPr>
        <w:t>chair of the National Academies committee that</w:t>
      </w:r>
      <w:r>
        <w:rPr>
          <w:rFonts w:ascii="Times New Roman" w:hAnsi="Times New Roman" w:cs="Times New Roman"/>
          <w:sz w:val="24"/>
          <w:szCs w:val="24"/>
        </w:rPr>
        <w:t xml:space="preserve"> in 2014</w:t>
      </w:r>
      <w:r w:rsidRPr="009D1859">
        <w:rPr>
          <w:rFonts w:ascii="Times New Roman" w:hAnsi="Times New Roman" w:cs="Times New Roman"/>
          <w:sz w:val="24"/>
          <w:szCs w:val="24"/>
        </w:rPr>
        <w:t xml:space="preserve"> wrote Safe Science: Promoting a Culture of Safety in Academic Chemical Research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9D1859">
        <w:rPr>
          <w:rFonts w:ascii="Times New Roman" w:hAnsi="Times New Roman" w:cs="Times New Roman"/>
          <w:sz w:val="24"/>
          <w:szCs w:val="24"/>
        </w:rPr>
        <w:t xml:space="preserve">There is a strong movement building to make laboratory safety and safety culture a prominent part of the leadership agenda of every college and university executive and an indispensable part of science education and practice. The 20 recommendations of the </w:t>
      </w:r>
      <w:r>
        <w:rPr>
          <w:rFonts w:ascii="Times New Roman" w:hAnsi="Times New Roman" w:cs="Times New Roman"/>
          <w:sz w:val="24"/>
          <w:szCs w:val="24"/>
        </w:rPr>
        <w:t>report are all right on target.”</w:t>
      </w:r>
    </w:p>
    <w:p w14:paraId="132361E2" w14:textId="77777777" w:rsidR="00963E22" w:rsidRDefault="00963E22" w:rsidP="00D96DC1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</w:p>
    <w:p w14:paraId="175A28DB" w14:textId="3822EBB0" w:rsidR="004F3A13" w:rsidRDefault="00DD394B" w:rsidP="007A6BFE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  <w:r w:rsidRPr="00DD394B">
        <w:rPr>
          <w:rFonts w:ascii="Times New Roman" w:hAnsi="Times New Roman" w:cs="Times New Roman"/>
          <w:sz w:val="24"/>
          <w:szCs w:val="24"/>
        </w:rPr>
        <w:t>The report notes that instituting a strengthened culture of research safety starts with the vocal commitment and leadership of a university president; relies on faculty, students, and staff engaged in the discovery enterprise to adopt safer practices; and requires a campus-wide willingness to implement policies and practices that support a culture of safety.</w:t>
      </w:r>
    </w:p>
    <w:p w14:paraId="2EB89269" w14:textId="77777777" w:rsidR="00DD394B" w:rsidRDefault="00DD394B" w:rsidP="007A6BFE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</w:p>
    <w:p w14:paraId="5D9FC2C4" w14:textId="008E6DFD" w:rsidR="006F2668" w:rsidRDefault="008609E9" w:rsidP="007A6BFE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task force, which </w:t>
      </w:r>
      <w:r w:rsidR="00920781" w:rsidRPr="000C6B32">
        <w:rPr>
          <w:rFonts w:ascii="Times New Roman" w:hAnsi="Times New Roman" w:cs="Times New Roman"/>
          <w:sz w:val="24"/>
          <w:szCs w:val="24"/>
        </w:rPr>
        <w:t xml:space="preserve">APLU </w:t>
      </w:r>
      <w:r>
        <w:rPr>
          <w:rFonts w:ascii="Times New Roman" w:hAnsi="Times New Roman" w:cs="Times New Roman"/>
          <w:sz w:val="24"/>
          <w:szCs w:val="24"/>
        </w:rPr>
        <w:t xml:space="preserve">created </w:t>
      </w:r>
      <w:r w:rsidR="00920781" w:rsidRPr="000C6B32">
        <w:rPr>
          <w:rFonts w:ascii="Times New Roman" w:hAnsi="Times New Roman" w:cs="Times New Roman"/>
          <w:sz w:val="24"/>
          <w:szCs w:val="24"/>
        </w:rPr>
        <w:t>in coordination with the Association of American Universities</w:t>
      </w:r>
      <w:r w:rsidR="00DF2A51">
        <w:rPr>
          <w:rFonts w:ascii="Times New Roman" w:hAnsi="Times New Roman" w:cs="Times New Roman"/>
          <w:sz w:val="24"/>
          <w:szCs w:val="24"/>
        </w:rPr>
        <w:t xml:space="preserve"> (AAU)</w:t>
      </w:r>
      <w:r w:rsidR="00920781" w:rsidRPr="000C6B32">
        <w:rPr>
          <w:rFonts w:ascii="Times New Roman" w:hAnsi="Times New Roman" w:cs="Times New Roman"/>
          <w:sz w:val="24"/>
          <w:szCs w:val="24"/>
        </w:rPr>
        <w:t>, American Chemical Society</w:t>
      </w:r>
      <w:r w:rsidR="00DF2A51">
        <w:rPr>
          <w:rFonts w:ascii="Times New Roman" w:hAnsi="Times New Roman" w:cs="Times New Roman"/>
          <w:sz w:val="24"/>
          <w:szCs w:val="24"/>
        </w:rPr>
        <w:t xml:space="preserve"> (ACS)</w:t>
      </w:r>
      <w:r w:rsidR="00920781" w:rsidRPr="000C6B32">
        <w:rPr>
          <w:rFonts w:ascii="Times New Roman" w:hAnsi="Times New Roman" w:cs="Times New Roman"/>
          <w:sz w:val="24"/>
          <w:szCs w:val="24"/>
        </w:rPr>
        <w:t>, and Council on Government</w:t>
      </w:r>
      <w:r w:rsidR="005A7DC9">
        <w:rPr>
          <w:rFonts w:ascii="Times New Roman" w:hAnsi="Times New Roman" w:cs="Times New Roman"/>
          <w:sz w:val="24"/>
          <w:szCs w:val="24"/>
        </w:rPr>
        <w:t>al</w:t>
      </w:r>
      <w:r w:rsidR="00920781" w:rsidRPr="000C6B32">
        <w:rPr>
          <w:rFonts w:ascii="Times New Roman" w:hAnsi="Times New Roman" w:cs="Times New Roman"/>
          <w:sz w:val="24"/>
          <w:szCs w:val="24"/>
        </w:rPr>
        <w:t xml:space="preserve"> Relations</w:t>
      </w:r>
      <w:r w:rsidR="00DF2A51">
        <w:rPr>
          <w:rFonts w:ascii="Times New Roman" w:hAnsi="Times New Roman" w:cs="Times New Roman"/>
          <w:sz w:val="24"/>
          <w:szCs w:val="24"/>
        </w:rPr>
        <w:t xml:space="preserve"> (COGR)</w:t>
      </w:r>
      <w:r w:rsidR="00920781" w:rsidRPr="000C6B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 comprised of </w:t>
      </w:r>
      <w:r w:rsidR="00920781" w:rsidRPr="000C6B32">
        <w:rPr>
          <w:rFonts w:ascii="Times New Roman" w:hAnsi="Times New Roman" w:cs="Times New Roman"/>
          <w:sz w:val="24"/>
          <w:szCs w:val="24"/>
        </w:rPr>
        <w:t>senior research officers</w:t>
      </w:r>
      <w:r w:rsidR="005A7DC9">
        <w:rPr>
          <w:rFonts w:ascii="Times New Roman" w:hAnsi="Times New Roman" w:cs="Times New Roman"/>
          <w:sz w:val="24"/>
          <w:szCs w:val="24"/>
        </w:rPr>
        <w:t>,</w:t>
      </w:r>
      <w:r w:rsidR="001E05F9">
        <w:rPr>
          <w:rFonts w:ascii="Times New Roman" w:hAnsi="Times New Roman" w:cs="Times New Roman"/>
          <w:sz w:val="24"/>
          <w:szCs w:val="24"/>
        </w:rPr>
        <w:t xml:space="preserve"> </w:t>
      </w:r>
      <w:r w:rsidR="00920781" w:rsidRPr="000C6B32">
        <w:rPr>
          <w:rFonts w:ascii="Times New Roman" w:hAnsi="Times New Roman" w:cs="Times New Roman"/>
          <w:sz w:val="24"/>
          <w:szCs w:val="24"/>
        </w:rPr>
        <w:t>environm</w:t>
      </w:r>
      <w:r>
        <w:rPr>
          <w:rFonts w:ascii="Times New Roman" w:hAnsi="Times New Roman" w:cs="Times New Roman"/>
          <w:sz w:val="24"/>
          <w:szCs w:val="24"/>
        </w:rPr>
        <w:t>ental and health safety experts</w:t>
      </w:r>
      <w:r w:rsidR="005A7DC9">
        <w:rPr>
          <w:rFonts w:ascii="Times New Roman" w:hAnsi="Times New Roman" w:cs="Times New Roman"/>
          <w:sz w:val="24"/>
          <w:szCs w:val="24"/>
        </w:rPr>
        <w:t>, and representatives from industry and national labs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1D7E">
        <w:rPr>
          <w:rFonts w:ascii="Times New Roman" w:hAnsi="Times New Roman" w:cs="Times New Roman"/>
          <w:sz w:val="24"/>
          <w:szCs w:val="24"/>
        </w:rPr>
        <w:t xml:space="preserve">  In writing the guide, the task f</w:t>
      </w:r>
      <w:r w:rsidR="007E1D7E" w:rsidRPr="007E1D7E">
        <w:rPr>
          <w:rFonts w:ascii="Times New Roman" w:hAnsi="Times New Roman" w:cs="Times New Roman"/>
          <w:sz w:val="24"/>
          <w:szCs w:val="24"/>
        </w:rPr>
        <w:t>orce actively reached out across the university and science communities to hear perspectives on strengthening the laboratory safety culture from over 20 organizations and 25 institutions.</w:t>
      </w:r>
    </w:p>
    <w:p w14:paraId="374F8533" w14:textId="77777777" w:rsidR="009670F0" w:rsidRDefault="009670F0" w:rsidP="007A6BFE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</w:p>
    <w:p w14:paraId="00B5D391" w14:textId="7C26F800" w:rsidR="009670F0" w:rsidRDefault="009670F0" w:rsidP="007A6BFE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  <w:r w:rsidRPr="009670F0">
        <w:rPr>
          <w:rFonts w:ascii="Times New Roman" w:hAnsi="Times New Roman" w:cs="Times New Roman"/>
          <w:sz w:val="24"/>
          <w:szCs w:val="24"/>
        </w:rPr>
        <w:t>“APLU is committed to collecting resources and best practices that can help our campuses move to a safer culture,” said Kacy Redd, staff lead for lab safety at APLU. “The companion website is intended to be a growing resource for implementing a culture of safety. We welcome additions to the toolbox.”</w:t>
      </w:r>
    </w:p>
    <w:p w14:paraId="4857B91A" w14:textId="77777777" w:rsidR="008D1591" w:rsidRPr="007A6BFE" w:rsidRDefault="008D1591" w:rsidP="00D96DC1">
      <w:pPr>
        <w:ind w:right="180"/>
        <w:rPr>
          <w:rFonts w:ascii="Times New Roman" w:hAnsi="Times New Roman" w:cs="Times New Roman"/>
          <w:b/>
          <w:sz w:val="24"/>
          <w:szCs w:val="24"/>
        </w:rPr>
      </w:pPr>
    </w:p>
    <w:p w14:paraId="042CF0A3" w14:textId="77777777" w:rsidR="00D76057" w:rsidRDefault="000C6B32" w:rsidP="00D76057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  <w:r w:rsidRPr="000C6B32">
        <w:rPr>
          <w:rFonts w:ascii="Times New Roman" w:hAnsi="Times New Roman" w:cs="Times New Roman"/>
          <w:sz w:val="24"/>
          <w:szCs w:val="24"/>
        </w:rPr>
        <w:t xml:space="preserve">Recent and ongoing efforts by the U.S. Chemical Safety and Hazard Board, the American Chemical Society, and the National Academies reflect both concern and focus on the absence of a lab safety culture in universities and colleges. The necessity for </w:t>
      </w:r>
      <w:r w:rsidR="00E43DD0">
        <w:rPr>
          <w:rFonts w:ascii="Times New Roman" w:hAnsi="Times New Roman" w:cs="Times New Roman"/>
          <w:sz w:val="24"/>
          <w:szCs w:val="24"/>
        </w:rPr>
        <w:t>institutions</w:t>
      </w:r>
      <w:r w:rsidRPr="000C6B32">
        <w:rPr>
          <w:rFonts w:ascii="Times New Roman" w:hAnsi="Times New Roman" w:cs="Times New Roman"/>
          <w:sz w:val="24"/>
          <w:szCs w:val="24"/>
        </w:rPr>
        <w:t xml:space="preserve"> to keep their faculty, staff, students, and visitors safe during teaching and research activities is critical for their growth, success, and long-term sustainability. </w:t>
      </w:r>
      <w:r w:rsidR="008609E9">
        <w:rPr>
          <w:rFonts w:ascii="Times New Roman" w:hAnsi="Times New Roman" w:cs="Times New Roman"/>
          <w:sz w:val="24"/>
          <w:szCs w:val="24"/>
        </w:rPr>
        <w:t xml:space="preserve"> Significant</w:t>
      </w:r>
      <w:r w:rsidRPr="000C6B32">
        <w:rPr>
          <w:rFonts w:ascii="Times New Roman" w:hAnsi="Times New Roman" w:cs="Times New Roman"/>
          <w:sz w:val="24"/>
          <w:szCs w:val="24"/>
        </w:rPr>
        <w:t xml:space="preserve"> events</w:t>
      </w:r>
      <w:r w:rsidR="008609E9">
        <w:rPr>
          <w:rFonts w:ascii="Times New Roman" w:hAnsi="Times New Roman" w:cs="Times New Roman"/>
          <w:sz w:val="24"/>
          <w:szCs w:val="24"/>
        </w:rPr>
        <w:t xml:space="preserve"> in recent years</w:t>
      </w:r>
      <w:r w:rsidRPr="000C6B32">
        <w:rPr>
          <w:rFonts w:ascii="Times New Roman" w:hAnsi="Times New Roman" w:cs="Times New Roman"/>
          <w:sz w:val="24"/>
          <w:szCs w:val="24"/>
        </w:rPr>
        <w:t xml:space="preserve">, </w:t>
      </w:r>
      <w:r w:rsidR="00E43DD0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0C6B32">
        <w:rPr>
          <w:rFonts w:ascii="Times New Roman" w:hAnsi="Times New Roman" w:cs="Times New Roman"/>
          <w:sz w:val="24"/>
          <w:szCs w:val="24"/>
        </w:rPr>
        <w:t xml:space="preserve">the death of a laboratory research assistant </w:t>
      </w:r>
      <w:r w:rsidR="008609E9">
        <w:rPr>
          <w:rFonts w:ascii="Times New Roman" w:hAnsi="Times New Roman" w:cs="Times New Roman"/>
          <w:sz w:val="24"/>
          <w:szCs w:val="24"/>
        </w:rPr>
        <w:t xml:space="preserve">and a lab explosion </w:t>
      </w:r>
      <w:r w:rsidRPr="000C6B32">
        <w:rPr>
          <w:rFonts w:ascii="Times New Roman" w:hAnsi="Times New Roman" w:cs="Times New Roman"/>
          <w:sz w:val="24"/>
          <w:szCs w:val="24"/>
        </w:rPr>
        <w:t xml:space="preserve">that severely injured a graduate student has raised awareness and highlights the need for a national solution.  </w:t>
      </w:r>
    </w:p>
    <w:p w14:paraId="015A8B44" w14:textId="77777777" w:rsidR="00D76057" w:rsidRDefault="00D76057" w:rsidP="00D76057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</w:p>
    <w:p w14:paraId="062A0D1B" w14:textId="2FBBFE77" w:rsidR="005E2A92" w:rsidRDefault="00D515F2" w:rsidP="00D76057">
      <w:pPr>
        <w:ind w:left="-270" w:right="18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Those interested in contributing</w:t>
      </w:r>
      <w:r w:rsidR="00D76057" w:rsidRPr="00D76057">
        <w:rPr>
          <w:rFonts w:ascii="Times New Roman" w:hAnsi="Times New Roman" w:cs="Times New Roman"/>
          <w:color w:val="000000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task force’s </w:t>
      </w:r>
      <w:r w:rsidR="00D76057" w:rsidRPr="00D76057">
        <w:rPr>
          <w:rFonts w:ascii="Times New Roman" w:hAnsi="Times New Roman" w:cs="Times New Roman"/>
          <w:color w:val="000000"/>
          <w:sz w:val="24"/>
          <w:szCs w:val="24"/>
        </w:rPr>
        <w:t xml:space="preserve">growing list of resources that support a culture of safety in </w:t>
      </w:r>
      <w:r>
        <w:rPr>
          <w:rFonts w:ascii="Times New Roman" w:hAnsi="Times New Roman" w:cs="Times New Roman"/>
          <w:sz w:val="24"/>
          <w:szCs w:val="24"/>
        </w:rPr>
        <w:t xml:space="preserve">teaching laboratories; shops, studios, and stages; </w:t>
      </w:r>
      <w:r w:rsidR="00D76057" w:rsidRPr="00D76057">
        <w:rPr>
          <w:rFonts w:ascii="Times New Roman" w:hAnsi="Times New Roman" w:cs="Times New Roman"/>
          <w:sz w:val="24"/>
          <w:szCs w:val="24"/>
        </w:rPr>
        <w:t>teaching classrooms; and the</w:t>
      </w:r>
      <w:r w:rsidR="00D76057" w:rsidRPr="00D76057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D76057" w:rsidRPr="00D76057">
        <w:rPr>
          <w:rFonts w:ascii="Times New Roman" w:hAnsi="Times New Roman" w:cs="Times New Roman"/>
          <w:sz w:val="24"/>
          <w:szCs w:val="24"/>
        </w:rPr>
        <w:t xml:space="preserve">ield, </w:t>
      </w:r>
      <w:r w:rsidR="0053042B">
        <w:rPr>
          <w:rFonts w:ascii="Times New Roman" w:hAnsi="Times New Roman" w:cs="Times New Roman"/>
          <w:sz w:val="24"/>
          <w:szCs w:val="24"/>
        </w:rPr>
        <w:t>can make suggestions</w:t>
      </w:r>
      <w:r w:rsidR="00D76057" w:rsidRPr="00D7605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76057" w:rsidRPr="00D76057">
          <w:rPr>
            <w:rStyle w:val="Hyperlink"/>
            <w:rFonts w:ascii="Times New Roman" w:hAnsi="Times New Roman" w:cs="Times New Roman"/>
            <w:sz w:val="24"/>
            <w:szCs w:val="24"/>
          </w:rPr>
          <w:t>here.</w:t>
        </w:r>
      </w:hyperlink>
    </w:p>
    <w:p w14:paraId="71942E80" w14:textId="77777777" w:rsidR="00E43DD0" w:rsidRDefault="00E43DD0" w:rsidP="00FB304D">
      <w:pPr>
        <w:ind w:left="-270" w:right="1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8D052" w14:textId="4E899F0F" w:rsidR="006F4415" w:rsidRDefault="00FB304D" w:rsidP="00FB304D">
      <w:pPr>
        <w:ind w:left="-270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</w:t>
      </w:r>
      <w:r w:rsidR="006F4415">
        <w:rPr>
          <w:rFonts w:ascii="Times New Roman" w:hAnsi="Times New Roman" w:cs="Times New Roman"/>
          <w:color w:val="000000"/>
          <w:sz w:val="24"/>
          <w:szCs w:val="24"/>
        </w:rPr>
        <w:t>###</w:t>
      </w:r>
    </w:p>
    <w:p w14:paraId="1EECC251" w14:textId="77777777" w:rsidR="006F4415" w:rsidRDefault="006F4415" w:rsidP="00FB304D">
      <w:pPr>
        <w:ind w:left="-270" w:right="1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2ED8F" w14:textId="44FB3D92" w:rsidR="000C6B32" w:rsidRPr="00324CC1" w:rsidRDefault="007E1D7E" w:rsidP="00324CC1">
      <w:pPr>
        <w:ind w:left="-270" w:right="180" w:firstLine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Association of Public and Land-grant Universities (APLU) is a research, policy, and advocacy organization dedicated to strengthening and advancing the work of public universities in the U.S., Canada, and Mexico.  With a membership of 235 public research universities, land-grant institutions, state university systems, and affiliated organizations, APLU’s agenda is built on three pillars of increasing degree completion and academic success, </w:t>
      </w:r>
      <w:r w:rsidR="007B68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advancing scientific research, and expanding </w:t>
      </w:r>
      <w:r w:rsidR="007B6849" w:rsidRPr="007B68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engagement.  </w:t>
      </w:r>
      <w:r w:rsidR="006F4415" w:rsidRPr="007B6849">
        <w:rPr>
          <w:rFonts w:ascii="Times New Roman" w:hAnsi="Times New Roman" w:cs="Times New Roman"/>
          <w:i/>
          <w:color w:val="000000"/>
          <w:sz w:val="24"/>
          <w:szCs w:val="24"/>
        </w:rPr>
        <w:t>Annually,</w:t>
      </w:r>
      <w:r w:rsidRPr="007B68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APLU member campuses enroll 4.7 million undergraduates and 1.2</w:t>
      </w:r>
      <w:r w:rsidR="006F4415" w:rsidRPr="007B68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million graduate students, award 1.2 million degrees, employ 1.4 million fa</w:t>
      </w:r>
      <w:r w:rsidRPr="007B6849">
        <w:rPr>
          <w:rFonts w:ascii="Times New Roman" w:hAnsi="Times New Roman" w:cs="Times New Roman"/>
          <w:i/>
          <w:color w:val="000000"/>
          <w:sz w:val="24"/>
          <w:szCs w:val="24"/>
        </w:rPr>
        <w:t>culty and staff, and conduct $42.7</w:t>
      </w:r>
      <w:r w:rsidR="006F4415" w:rsidRPr="007B68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billion in university-based research.</w:t>
      </w:r>
    </w:p>
    <w:sectPr w:rsidR="000C6B32" w:rsidRPr="00324CC1" w:rsidSect="001463A1">
      <w:headerReference w:type="first" r:id="rId12"/>
      <w:pgSz w:w="12240" w:h="15840"/>
      <w:pgMar w:top="1440" w:right="108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35FCE" w14:textId="77777777" w:rsidR="008C3698" w:rsidRDefault="008C3698" w:rsidP="00BA6869">
      <w:r>
        <w:separator/>
      </w:r>
    </w:p>
  </w:endnote>
  <w:endnote w:type="continuationSeparator" w:id="0">
    <w:p w14:paraId="26972F7A" w14:textId="77777777" w:rsidR="008C3698" w:rsidRDefault="008C3698" w:rsidP="00BA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11B35" w14:textId="77777777" w:rsidR="008C3698" w:rsidRDefault="008C3698" w:rsidP="00BA6869">
      <w:r>
        <w:separator/>
      </w:r>
    </w:p>
  </w:footnote>
  <w:footnote w:type="continuationSeparator" w:id="0">
    <w:p w14:paraId="03E3EF89" w14:textId="77777777" w:rsidR="008C3698" w:rsidRDefault="008C3698" w:rsidP="00BA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7C692" w14:textId="77777777" w:rsidR="00B02C63" w:rsidRDefault="00262495" w:rsidP="00262495">
    <w:pPr>
      <w:pStyle w:val="Header"/>
      <w:ind w:left="-12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A0FADC" wp14:editId="24C4D1EB">
              <wp:simplePos x="0" y="0"/>
              <wp:positionH relativeFrom="column">
                <wp:posOffset>-721605</wp:posOffset>
              </wp:positionH>
              <wp:positionV relativeFrom="paragraph">
                <wp:posOffset>-214829</wp:posOffset>
              </wp:positionV>
              <wp:extent cx="7312025" cy="57150"/>
              <wp:effectExtent l="19050" t="38100" r="3175" b="571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2025" cy="57150"/>
                        <a:chOff x="480" y="315"/>
                        <a:chExt cx="11145" cy="90"/>
                      </a:xfrm>
                    </wpg:grpSpPr>
                    <wps:wsp>
                      <wps:cNvPr id="4" name="Line 4"/>
                      <wps:cNvCnPr/>
                      <wps:spPr bwMode="auto">
                        <a:xfrm>
                          <a:off x="480" y="315"/>
                          <a:ext cx="1114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52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480" y="398"/>
                          <a:ext cx="11145" cy="7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52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3EC0D5" id="Group 3" o:spid="_x0000_s1026" style="position:absolute;margin-left:-56.8pt;margin-top:-16.9pt;width:575.75pt;height:4.5pt;z-index:251659264" coordorigin="480,315" coordsize="1114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">
              <v:line id="Line 4" o:spid="_x0000_s1027" style="position:absolute;visibility:visible;mso-wrap-style:square" from="480,315" to="1162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IqYcMAAADaAAAADwAAAGRycy9kb3ducmV2LnhtbESPT4vCMBTE74LfITzBm6aKiNs1StlF&#10;8OLBPyB7ezbPttvmpTSx7X77jSB4HGbmN8x625tKtNS4wrKC2TQCQZxaXXCm4HLeTVYgnEfWWFkm&#10;BX/kYLsZDtYYa9vxkdqTz0SAsItRQe59HUvp0pwMuqmtiYN3t41BH2STSd1gF+CmkvMoWkqDBYeF&#10;HGv6yiktTw+j4P4zu338Jl3i+kP5fT2X7a3bS6XGoz75BOGp9+/wq73XChbwvBJu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SKmHDAAAA2gAAAA8AAAAAAAAAAAAA&#10;AAAAoQIAAGRycy9kb3ducmV2LnhtbFBLBQYAAAAABAAEAPkAAACRAwAAAAA=&#10;" strokecolor="#00522d" strokeweight="6pt"/>
              <v:line id="Line 5" o:spid="_x0000_s1028" style="position:absolute;visibility:visible;mso-wrap-style:square" from="480,398" to="11625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6P+sMAAADaAAAADwAAAGRycy9kb3ducmV2LnhtbESPT4vCMBTE74LfITzBm6YKits1StlF&#10;8OLBPyB7ezbPttvmpTSx7X77jSB4HGbmN8x625tKtNS4wrKC2TQCQZxaXXCm4HLeTVYgnEfWWFkm&#10;BX/kYLsZDtYYa9vxkdqTz0SAsItRQe59HUvp0pwMuqmtiYN3t41BH2STSd1gF+CmkvMoWkqDBYeF&#10;HGv6yiktTw+j4P4zu338Jl3i+kP5fT2X7a3bS6XGoz75BOGp9+/wq73XChbwvBJu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ej/rDAAAA2gAAAA8AAAAAAAAAAAAA&#10;AAAAoQIAAGRycy9kb3ducmV2LnhtbFBLBQYAAAAABAAEAPkAAACRAwAAAAA=&#10;" strokecolor="#00522d" strokeweight="6pt"/>
            </v:group>
          </w:pict>
        </mc:Fallback>
      </mc:AlternateContent>
    </w:r>
    <w:r>
      <w:t xml:space="preserve">  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2DB5F1EC" wp14:editId="380EC480">
          <wp:extent cx="2038120" cy="1030065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LU_Logo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685" cy="103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993C0" w14:textId="77777777" w:rsidR="00B02C63" w:rsidRDefault="00B02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0E8"/>
    <w:multiLevelType w:val="hybridMultilevel"/>
    <w:tmpl w:val="9F3C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659"/>
    <w:multiLevelType w:val="hybridMultilevel"/>
    <w:tmpl w:val="4AC49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951D77"/>
    <w:multiLevelType w:val="multilevel"/>
    <w:tmpl w:val="072A4F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69"/>
    <w:rsid w:val="00001186"/>
    <w:rsid w:val="000431B5"/>
    <w:rsid w:val="000557C3"/>
    <w:rsid w:val="00071E09"/>
    <w:rsid w:val="00092111"/>
    <w:rsid w:val="000A1B07"/>
    <w:rsid w:val="000B1EC8"/>
    <w:rsid w:val="000C6B32"/>
    <w:rsid w:val="000D669B"/>
    <w:rsid w:val="000E0B88"/>
    <w:rsid w:val="000E3506"/>
    <w:rsid w:val="000E37BA"/>
    <w:rsid w:val="00112738"/>
    <w:rsid w:val="00114BC8"/>
    <w:rsid w:val="00125B59"/>
    <w:rsid w:val="001434B2"/>
    <w:rsid w:val="001463A1"/>
    <w:rsid w:val="0015676B"/>
    <w:rsid w:val="00157817"/>
    <w:rsid w:val="00163A74"/>
    <w:rsid w:val="0017574B"/>
    <w:rsid w:val="001922AF"/>
    <w:rsid w:val="001A4545"/>
    <w:rsid w:val="001A4918"/>
    <w:rsid w:val="001A6726"/>
    <w:rsid w:val="001B56A8"/>
    <w:rsid w:val="001C20CE"/>
    <w:rsid w:val="001D0C10"/>
    <w:rsid w:val="001D3DA9"/>
    <w:rsid w:val="001E05F9"/>
    <w:rsid w:val="002021C6"/>
    <w:rsid w:val="00223D7D"/>
    <w:rsid w:val="00233DE8"/>
    <w:rsid w:val="0023446C"/>
    <w:rsid w:val="00236B97"/>
    <w:rsid w:val="00246011"/>
    <w:rsid w:val="00246A69"/>
    <w:rsid w:val="0025009E"/>
    <w:rsid w:val="00262495"/>
    <w:rsid w:val="00267EEB"/>
    <w:rsid w:val="002A5C33"/>
    <w:rsid w:val="002B0C7B"/>
    <w:rsid w:val="002D1F66"/>
    <w:rsid w:val="002D6B6D"/>
    <w:rsid w:val="002F4BD7"/>
    <w:rsid w:val="00307426"/>
    <w:rsid w:val="00324CC1"/>
    <w:rsid w:val="00370352"/>
    <w:rsid w:val="00373FB8"/>
    <w:rsid w:val="00387908"/>
    <w:rsid w:val="00391367"/>
    <w:rsid w:val="00391DFD"/>
    <w:rsid w:val="003D1FD0"/>
    <w:rsid w:val="003E3BEF"/>
    <w:rsid w:val="003F4C64"/>
    <w:rsid w:val="00415BCE"/>
    <w:rsid w:val="004309CE"/>
    <w:rsid w:val="0043530B"/>
    <w:rsid w:val="00463EDD"/>
    <w:rsid w:val="00475C24"/>
    <w:rsid w:val="0049084D"/>
    <w:rsid w:val="004B3E1A"/>
    <w:rsid w:val="004C71EF"/>
    <w:rsid w:val="004D3FF0"/>
    <w:rsid w:val="004D5ADE"/>
    <w:rsid w:val="004E157A"/>
    <w:rsid w:val="004E4CF2"/>
    <w:rsid w:val="004F3A13"/>
    <w:rsid w:val="00510D60"/>
    <w:rsid w:val="0053042B"/>
    <w:rsid w:val="005320BB"/>
    <w:rsid w:val="0055370C"/>
    <w:rsid w:val="00565099"/>
    <w:rsid w:val="005823D0"/>
    <w:rsid w:val="0058260A"/>
    <w:rsid w:val="00596C15"/>
    <w:rsid w:val="005A7DC9"/>
    <w:rsid w:val="005B210D"/>
    <w:rsid w:val="005B6535"/>
    <w:rsid w:val="005C1D7D"/>
    <w:rsid w:val="005C1E28"/>
    <w:rsid w:val="005E2A92"/>
    <w:rsid w:val="00601DA3"/>
    <w:rsid w:val="006342F4"/>
    <w:rsid w:val="00653F3F"/>
    <w:rsid w:val="006674A7"/>
    <w:rsid w:val="00667BD7"/>
    <w:rsid w:val="00667F16"/>
    <w:rsid w:val="00672714"/>
    <w:rsid w:val="006B26A4"/>
    <w:rsid w:val="006C3F78"/>
    <w:rsid w:val="006E794D"/>
    <w:rsid w:val="006F0BCF"/>
    <w:rsid w:val="006F2668"/>
    <w:rsid w:val="006F4415"/>
    <w:rsid w:val="00723F47"/>
    <w:rsid w:val="007314E9"/>
    <w:rsid w:val="007453AD"/>
    <w:rsid w:val="00750FAF"/>
    <w:rsid w:val="00765E43"/>
    <w:rsid w:val="007A6BFE"/>
    <w:rsid w:val="007B5402"/>
    <w:rsid w:val="007B6849"/>
    <w:rsid w:val="007E1D7E"/>
    <w:rsid w:val="007F54C3"/>
    <w:rsid w:val="008251FF"/>
    <w:rsid w:val="0082714C"/>
    <w:rsid w:val="0083044B"/>
    <w:rsid w:val="00830F30"/>
    <w:rsid w:val="008313AD"/>
    <w:rsid w:val="00837B4D"/>
    <w:rsid w:val="00855B65"/>
    <w:rsid w:val="008604F3"/>
    <w:rsid w:val="008609E9"/>
    <w:rsid w:val="0088334F"/>
    <w:rsid w:val="008910CC"/>
    <w:rsid w:val="008C3698"/>
    <w:rsid w:val="008D1591"/>
    <w:rsid w:val="00903E7E"/>
    <w:rsid w:val="00905050"/>
    <w:rsid w:val="00920781"/>
    <w:rsid w:val="00921FDE"/>
    <w:rsid w:val="00962799"/>
    <w:rsid w:val="00963E22"/>
    <w:rsid w:val="009670F0"/>
    <w:rsid w:val="009974B8"/>
    <w:rsid w:val="009B2874"/>
    <w:rsid w:val="009D1859"/>
    <w:rsid w:val="009D23C2"/>
    <w:rsid w:val="009E5BE5"/>
    <w:rsid w:val="009F4876"/>
    <w:rsid w:val="00A03070"/>
    <w:rsid w:val="00A2245A"/>
    <w:rsid w:val="00A563F1"/>
    <w:rsid w:val="00A726EF"/>
    <w:rsid w:val="00A84BBD"/>
    <w:rsid w:val="00A95627"/>
    <w:rsid w:val="00AB11F6"/>
    <w:rsid w:val="00AF558B"/>
    <w:rsid w:val="00B02C63"/>
    <w:rsid w:val="00B17117"/>
    <w:rsid w:val="00B475A3"/>
    <w:rsid w:val="00B550F1"/>
    <w:rsid w:val="00B62C60"/>
    <w:rsid w:val="00B93179"/>
    <w:rsid w:val="00B97470"/>
    <w:rsid w:val="00BA4C10"/>
    <w:rsid w:val="00BA6869"/>
    <w:rsid w:val="00BA6D40"/>
    <w:rsid w:val="00BC0AC2"/>
    <w:rsid w:val="00BC1150"/>
    <w:rsid w:val="00C062E2"/>
    <w:rsid w:val="00C27D40"/>
    <w:rsid w:val="00C333E4"/>
    <w:rsid w:val="00C3714C"/>
    <w:rsid w:val="00C417E5"/>
    <w:rsid w:val="00C41F9E"/>
    <w:rsid w:val="00C461BD"/>
    <w:rsid w:val="00C6238D"/>
    <w:rsid w:val="00C82908"/>
    <w:rsid w:val="00C868D2"/>
    <w:rsid w:val="00CC19CB"/>
    <w:rsid w:val="00CC630C"/>
    <w:rsid w:val="00CE78A8"/>
    <w:rsid w:val="00D148F8"/>
    <w:rsid w:val="00D515F2"/>
    <w:rsid w:val="00D55E3E"/>
    <w:rsid w:val="00D70F55"/>
    <w:rsid w:val="00D76057"/>
    <w:rsid w:val="00D96DC1"/>
    <w:rsid w:val="00DA40F7"/>
    <w:rsid w:val="00DD394B"/>
    <w:rsid w:val="00DF2A51"/>
    <w:rsid w:val="00E02C5D"/>
    <w:rsid w:val="00E34358"/>
    <w:rsid w:val="00E43DD0"/>
    <w:rsid w:val="00E44780"/>
    <w:rsid w:val="00E51482"/>
    <w:rsid w:val="00E522EA"/>
    <w:rsid w:val="00E855CC"/>
    <w:rsid w:val="00E9563D"/>
    <w:rsid w:val="00EB2F8A"/>
    <w:rsid w:val="00EF5357"/>
    <w:rsid w:val="00F2379C"/>
    <w:rsid w:val="00F241EE"/>
    <w:rsid w:val="00F52573"/>
    <w:rsid w:val="00F85457"/>
    <w:rsid w:val="00FB304D"/>
    <w:rsid w:val="00FB5B0D"/>
    <w:rsid w:val="00FC6227"/>
    <w:rsid w:val="00FD5D6F"/>
    <w:rsid w:val="00FE617A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2B91856"/>
  <w15:docId w15:val="{A4C4127A-E7EE-4353-9577-47F0AAB6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8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6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8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6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6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3F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1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5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5A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DC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ieberson@aplu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CNT9SM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lu.org/researchsafe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lu.org/library/safety-culture/fi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227F-89E8-4643-BF0E-DC9CEBF9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5921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APLU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phassen</dc:creator>
  <cp:lastModifiedBy>Ericka Huston</cp:lastModifiedBy>
  <cp:revision>2</cp:revision>
  <cp:lastPrinted>2016-04-07T16:58:00Z</cp:lastPrinted>
  <dcterms:created xsi:type="dcterms:W3CDTF">2016-05-12T21:39:00Z</dcterms:created>
  <dcterms:modified xsi:type="dcterms:W3CDTF">2016-05-12T21:39:00Z</dcterms:modified>
</cp:coreProperties>
</file>